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BF86D" w14:textId="77777777" w:rsidR="00AD1ED9" w:rsidRDefault="00AD1ED9" w:rsidP="00AD1ED9">
      <w:pPr>
        <w:pStyle w:val="Titolo1"/>
        <w:ind w:right="0"/>
        <w:rPr>
          <w:rFonts w:asciiTheme="minorHAnsi" w:hAnsiTheme="minorHAnsi" w:cstheme="minorHAnsi"/>
          <w:b/>
          <w:sz w:val="40"/>
          <w:szCs w:val="40"/>
          <w:lang w:val="en-US"/>
        </w:rPr>
      </w:pPr>
    </w:p>
    <w:p w14:paraId="636E77ED" w14:textId="77777777" w:rsidR="00DA3314" w:rsidRPr="00DA3314" w:rsidRDefault="00DA3314" w:rsidP="00DA3314">
      <w:pPr>
        <w:pStyle w:val="Paragraph"/>
        <w:ind w:firstLine="0"/>
        <w:rPr>
          <w:rFonts w:ascii="Tahoma" w:hAnsi="Tahoma" w:cs="Tahoma"/>
          <w:b/>
          <w:sz w:val="28"/>
          <w:szCs w:val="26"/>
          <w:lang w:val="en-US"/>
        </w:rPr>
      </w:pPr>
      <w:bookmarkStart w:id="0" w:name="_Hlk3369038"/>
      <w:r w:rsidRPr="00DA3314">
        <w:rPr>
          <w:rFonts w:ascii="Tahoma" w:hAnsi="Tahoma" w:cs="Tahoma"/>
          <w:b/>
          <w:sz w:val="28"/>
          <w:szCs w:val="26"/>
          <w:lang w:val="en-US"/>
        </w:rPr>
        <w:t>Konecranes delivers 13 reach stackers to Ethiopia</w:t>
      </w:r>
    </w:p>
    <w:p w14:paraId="1FFBA66D" w14:textId="77777777" w:rsidR="00DA3314" w:rsidRPr="00DA3314" w:rsidRDefault="00DA3314" w:rsidP="00DA3314">
      <w:pPr>
        <w:pStyle w:val="Paragraph"/>
        <w:rPr>
          <w:rFonts w:ascii="Tahoma" w:hAnsi="Tahoma" w:cs="Tahoma"/>
          <w:sz w:val="26"/>
          <w:szCs w:val="26"/>
          <w:lang w:val="en-US"/>
        </w:rPr>
      </w:pPr>
    </w:p>
    <w:p w14:paraId="2FBDC702" w14:textId="4EBC37FE" w:rsidR="00F301E3" w:rsidRPr="00DA3314" w:rsidRDefault="00DA3314" w:rsidP="00DA3314">
      <w:pPr>
        <w:pStyle w:val="Paragraph"/>
        <w:ind w:firstLine="0"/>
        <w:rPr>
          <w:rFonts w:ascii="Tahoma" w:hAnsi="Tahoma" w:cs="Tahoma"/>
          <w:b/>
          <w:szCs w:val="26"/>
          <w:lang w:val="en-US"/>
        </w:rPr>
      </w:pPr>
      <w:r w:rsidRPr="00DA3314">
        <w:rPr>
          <w:rFonts w:ascii="Tahoma" w:hAnsi="Tahoma" w:cs="Tahoma"/>
          <w:b/>
          <w:szCs w:val="26"/>
          <w:lang w:val="en-US"/>
        </w:rPr>
        <w:t xml:space="preserve">Through distributor QOPH Engineering Enterprise, Konecranes has delivered 13 reach stackers to Ethiopian Shipping and Logistics Services Enterprise (ESLSE).  </w:t>
      </w:r>
    </w:p>
    <w:p w14:paraId="47FA5116" w14:textId="29B9A527" w:rsidR="008261CB" w:rsidRPr="00DA3314" w:rsidRDefault="008261CB" w:rsidP="00DA3314">
      <w:pPr>
        <w:pStyle w:val="Paragraph"/>
        <w:rPr>
          <w:rFonts w:ascii="Tahoma" w:hAnsi="Tahoma" w:cs="Tahoma"/>
          <w:sz w:val="26"/>
          <w:szCs w:val="26"/>
          <w:lang w:val="en-US"/>
        </w:rPr>
      </w:pPr>
    </w:p>
    <w:p w14:paraId="2DE77BCA" w14:textId="77777777" w:rsidR="00DA3314" w:rsidRPr="00DA3314" w:rsidRDefault="00DA3314" w:rsidP="00DA3314">
      <w:pPr>
        <w:pStyle w:val="Paragraph"/>
        <w:rPr>
          <w:rFonts w:ascii="Tahoma" w:hAnsi="Tahoma" w:cs="Tahoma"/>
          <w:sz w:val="20"/>
          <w:szCs w:val="26"/>
          <w:lang w:val="en-US"/>
        </w:rPr>
      </w:pPr>
      <w:r w:rsidRPr="00DA3314">
        <w:rPr>
          <w:rFonts w:ascii="Tahoma" w:hAnsi="Tahoma" w:cs="Tahoma"/>
          <w:sz w:val="20"/>
          <w:szCs w:val="26"/>
          <w:lang w:val="en-US"/>
        </w:rPr>
        <w:t xml:space="preserve">This order has put 10 reach stackers at </w:t>
      </w:r>
      <w:proofErr w:type="spellStart"/>
      <w:r w:rsidRPr="00DA3314">
        <w:rPr>
          <w:rFonts w:ascii="Tahoma" w:hAnsi="Tahoma" w:cs="Tahoma"/>
          <w:sz w:val="20"/>
          <w:szCs w:val="26"/>
          <w:lang w:val="en-US"/>
        </w:rPr>
        <w:t>Modjo</w:t>
      </w:r>
      <w:proofErr w:type="spellEnd"/>
      <w:r w:rsidRPr="00DA3314">
        <w:rPr>
          <w:rFonts w:ascii="Tahoma" w:hAnsi="Tahoma" w:cs="Tahoma"/>
          <w:sz w:val="20"/>
          <w:szCs w:val="26"/>
          <w:lang w:val="en-US"/>
        </w:rPr>
        <w:t xml:space="preserve"> Port &amp; Terminal, Ethiopia’s main dry port which handles most of the country’s trade, with the smaller inland terminals of </w:t>
      </w:r>
      <w:proofErr w:type="spellStart"/>
      <w:r w:rsidRPr="00DA3314">
        <w:rPr>
          <w:rFonts w:ascii="Tahoma" w:hAnsi="Tahoma" w:cs="Tahoma"/>
          <w:sz w:val="20"/>
          <w:szCs w:val="26"/>
          <w:lang w:val="en-US"/>
        </w:rPr>
        <w:t>Kaliti</w:t>
      </w:r>
      <w:proofErr w:type="spellEnd"/>
      <w:r w:rsidRPr="00DA3314">
        <w:rPr>
          <w:rFonts w:ascii="Tahoma" w:hAnsi="Tahoma" w:cs="Tahoma"/>
          <w:sz w:val="20"/>
          <w:szCs w:val="26"/>
          <w:lang w:val="en-US"/>
        </w:rPr>
        <w:t xml:space="preserve">, Mekelle and </w:t>
      </w:r>
      <w:proofErr w:type="spellStart"/>
      <w:r w:rsidRPr="00DA3314">
        <w:rPr>
          <w:rFonts w:ascii="Tahoma" w:hAnsi="Tahoma" w:cs="Tahoma"/>
          <w:sz w:val="20"/>
          <w:szCs w:val="26"/>
          <w:lang w:val="en-US"/>
        </w:rPr>
        <w:t>Kombolcha</w:t>
      </w:r>
      <w:proofErr w:type="spellEnd"/>
      <w:r w:rsidRPr="00DA3314">
        <w:rPr>
          <w:rFonts w:ascii="Tahoma" w:hAnsi="Tahoma" w:cs="Tahoma"/>
          <w:sz w:val="20"/>
          <w:szCs w:val="26"/>
          <w:lang w:val="en-US"/>
        </w:rPr>
        <w:t xml:space="preserve"> to get one new reach stacker each. With a capacity of 45 tons, the stackers will be used to handle 20-foot and 40-foot containers at the dry ports.</w:t>
      </w:r>
    </w:p>
    <w:p w14:paraId="2484BE57" w14:textId="77777777" w:rsidR="00DA3314" w:rsidRPr="00DA3314" w:rsidRDefault="00DA3314" w:rsidP="00DA3314">
      <w:pPr>
        <w:pStyle w:val="Paragraph"/>
        <w:rPr>
          <w:rFonts w:ascii="Tahoma" w:hAnsi="Tahoma" w:cs="Tahoma"/>
          <w:sz w:val="20"/>
          <w:szCs w:val="26"/>
          <w:lang w:val="en-US"/>
        </w:rPr>
      </w:pPr>
    </w:p>
    <w:p w14:paraId="1386CDCD" w14:textId="5F734121" w:rsidR="00DA3314" w:rsidRPr="00DA3314" w:rsidRDefault="00DA3314" w:rsidP="00DA3314">
      <w:pPr>
        <w:pStyle w:val="Paragraph"/>
        <w:rPr>
          <w:rFonts w:ascii="Tahoma" w:hAnsi="Tahoma" w:cs="Tahoma"/>
          <w:sz w:val="20"/>
          <w:szCs w:val="26"/>
          <w:lang w:val="en-US"/>
        </w:rPr>
      </w:pPr>
      <w:r w:rsidRPr="00DA3314">
        <w:rPr>
          <w:rFonts w:ascii="Tahoma" w:hAnsi="Tahoma" w:cs="Tahoma"/>
          <w:sz w:val="20"/>
          <w:szCs w:val="26"/>
          <w:lang w:val="en-US"/>
        </w:rPr>
        <w:t>Every reach stacker in the order features a smart MD4 display and multifunctional joystick, along with an ergonomic design for the comfort of the driver. The boom is easy to maintain, and the spreader uses a cylinder to prevent chain breakage. Ease of use combined with high lifting capacity means these reach stackers are sure to improve overall efficiency and productivity.</w:t>
      </w:r>
    </w:p>
    <w:p w14:paraId="3591DBCF" w14:textId="77777777" w:rsidR="00DA3314" w:rsidRPr="00DA3314" w:rsidRDefault="00DA3314" w:rsidP="00DA3314">
      <w:pPr>
        <w:pStyle w:val="Paragraph"/>
        <w:rPr>
          <w:rFonts w:ascii="Tahoma" w:hAnsi="Tahoma" w:cs="Tahoma"/>
          <w:sz w:val="20"/>
          <w:szCs w:val="26"/>
          <w:lang w:val="en-US"/>
        </w:rPr>
      </w:pPr>
    </w:p>
    <w:p w14:paraId="37AA5FBA" w14:textId="6ED508E5" w:rsidR="00DA3314" w:rsidRPr="00DA3314" w:rsidRDefault="00DA3314" w:rsidP="00DA3314">
      <w:pPr>
        <w:pStyle w:val="Paragraph"/>
        <w:rPr>
          <w:rFonts w:ascii="Tahoma" w:hAnsi="Tahoma" w:cs="Tahoma"/>
          <w:sz w:val="20"/>
          <w:szCs w:val="26"/>
          <w:lang w:val="en-US"/>
        </w:rPr>
      </w:pPr>
      <w:r w:rsidRPr="00DA3314">
        <w:rPr>
          <w:rFonts w:ascii="Tahoma" w:hAnsi="Tahoma" w:cs="Tahoma"/>
          <w:sz w:val="20"/>
          <w:szCs w:val="26"/>
          <w:lang w:val="en-US"/>
        </w:rPr>
        <w:t>Delivery and commissioning of the first 11 lift trucks took place on 21 January 2019. The twelfth machine was commissioned on 12 February, and the last reach stacker in the order was ready on 14 February.</w:t>
      </w:r>
    </w:p>
    <w:p w14:paraId="1E274002" w14:textId="77777777" w:rsidR="00DA3314" w:rsidRPr="00DA3314" w:rsidRDefault="00DA3314" w:rsidP="00DA3314">
      <w:pPr>
        <w:pStyle w:val="Paragraph"/>
        <w:rPr>
          <w:rFonts w:ascii="Tahoma" w:hAnsi="Tahoma" w:cs="Tahoma"/>
          <w:sz w:val="20"/>
          <w:szCs w:val="26"/>
          <w:lang w:val="en-US"/>
        </w:rPr>
      </w:pPr>
    </w:p>
    <w:p w14:paraId="52018C3A" w14:textId="073CF555" w:rsidR="00DA3314" w:rsidRPr="00DA3314" w:rsidRDefault="00DA3314" w:rsidP="00DA3314">
      <w:pPr>
        <w:pStyle w:val="Paragraph"/>
        <w:rPr>
          <w:rFonts w:ascii="Tahoma" w:hAnsi="Tahoma" w:cs="Tahoma"/>
          <w:sz w:val="20"/>
          <w:szCs w:val="26"/>
          <w:lang w:val="en-US"/>
        </w:rPr>
      </w:pPr>
      <w:r w:rsidRPr="00DA3314">
        <w:rPr>
          <w:rFonts w:ascii="Tahoma" w:hAnsi="Tahoma" w:cs="Tahoma"/>
          <w:sz w:val="20"/>
          <w:szCs w:val="26"/>
          <w:lang w:val="en-US"/>
        </w:rPr>
        <w:t xml:space="preserve">Ethiopia is one of the fastest growing economies in Africa, and ESLSE is currently building more inland terminals to support this expansion. Konecranes won a public tender to supply this reach stacker order because they fulfilled the ESLSE technical and commercial requirements. In addition, ESLSE had 23 Konecranes forklift trucks of 10-28t capacity delivered in 2014, all of which are still in good condition and being used daily at their facilities.  </w:t>
      </w:r>
    </w:p>
    <w:p w14:paraId="212E45EA" w14:textId="77777777" w:rsidR="00DA3314" w:rsidRPr="00DA3314" w:rsidRDefault="00DA3314" w:rsidP="00DA3314">
      <w:pPr>
        <w:pStyle w:val="Paragraph"/>
        <w:rPr>
          <w:rFonts w:ascii="Tahoma" w:hAnsi="Tahoma" w:cs="Tahoma"/>
          <w:sz w:val="20"/>
          <w:szCs w:val="26"/>
          <w:lang w:val="en-US"/>
        </w:rPr>
      </w:pPr>
    </w:p>
    <w:p w14:paraId="25B526D1" w14:textId="400B6D33" w:rsidR="001F4BB5" w:rsidRPr="00DA3314" w:rsidRDefault="00F02C06" w:rsidP="00DA3314">
      <w:pPr>
        <w:pStyle w:val="Paragraph"/>
        <w:rPr>
          <w:rFonts w:ascii="Tahoma" w:hAnsi="Tahoma" w:cs="Tahoma"/>
          <w:sz w:val="20"/>
          <w:szCs w:val="26"/>
          <w:lang w:val="en-US"/>
        </w:rPr>
      </w:pPr>
      <w:proofErr w:type="spellStart"/>
      <w:r w:rsidRPr="00DA3314">
        <w:rPr>
          <w:rFonts w:ascii="Tahoma" w:hAnsi="Tahoma" w:cs="Tahoma"/>
          <w:sz w:val="20"/>
          <w:szCs w:val="26"/>
          <w:lang w:val="en-US"/>
        </w:rPr>
        <w:t>Roba</w:t>
      </w:r>
      <w:proofErr w:type="spellEnd"/>
      <w:r w:rsidRPr="00DA3314">
        <w:rPr>
          <w:rFonts w:ascii="Tahoma" w:hAnsi="Tahoma" w:cs="Tahoma"/>
          <w:sz w:val="20"/>
          <w:szCs w:val="26"/>
          <w:lang w:val="en-US"/>
        </w:rPr>
        <w:t xml:space="preserve"> </w:t>
      </w:r>
      <w:proofErr w:type="spellStart"/>
      <w:r w:rsidRPr="00DA3314">
        <w:rPr>
          <w:rFonts w:ascii="Tahoma" w:hAnsi="Tahoma" w:cs="Tahoma"/>
          <w:sz w:val="20"/>
          <w:szCs w:val="26"/>
          <w:lang w:val="en-US"/>
        </w:rPr>
        <w:t>Megerssa</w:t>
      </w:r>
      <w:proofErr w:type="spellEnd"/>
      <w:r w:rsidRPr="00DA3314">
        <w:rPr>
          <w:rFonts w:ascii="Tahoma" w:hAnsi="Tahoma" w:cs="Tahoma"/>
          <w:sz w:val="20"/>
          <w:szCs w:val="26"/>
          <w:lang w:val="en-US"/>
        </w:rPr>
        <w:t>, CEO of ESLSE</w:t>
      </w:r>
      <w:r w:rsidR="001F4BB5" w:rsidRPr="00DA3314">
        <w:rPr>
          <w:rFonts w:ascii="Tahoma" w:hAnsi="Tahoma" w:cs="Tahoma"/>
          <w:sz w:val="20"/>
          <w:szCs w:val="26"/>
          <w:lang w:val="en-US"/>
        </w:rPr>
        <w:t>, says: “We</w:t>
      </w:r>
      <w:r w:rsidR="00604F4D" w:rsidRPr="00DA3314">
        <w:rPr>
          <w:rFonts w:ascii="Tahoma" w:hAnsi="Tahoma" w:cs="Tahoma"/>
          <w:sz w:val="20"/>
          <w:szCs w:val="26"/>
          <w:lang w:val="en-US"/>
        </w:rPr>
        <w:t>’</w:t>
      </w:r>
      <w:r w:rsidR="001F4BB5" w:rsidRPr="00DA3314">
        <w:rPr>
          <w:rFonts w:ascii="Tahoma" w:hAnsi="Tahoma" w:cs="Tahoma"/>
          <w:sz w:val="20"/>
          <w:szCs w:val="26"/>
          <w:lang w:val="en-US"/>
        </w:rPr>
        <w:t>re very pleased to update our lift truck fleet with the latest generation of Konecranes reach stacker</w:t>
      </w:r>
      <w:r w:rsidR="00DA3314" w:rsidRPr="00DA3314">
        <w:rPr>
          <w:rFonts w:ascii="Tahoma" w:hAnsi="Tahoma" w:cs="Tahoma"/>
          <w:sz w:val="20"/>
          <w:szCs w:val="26"/>
          <w:lang w:val="en-US"/>
        </w:rPr>
        <w:t xml:space="preserve">s, and are confident that </w:t>
      </w:r>
      <w:proofErr w:type="gramStart"/>
      <w:r w:rsidR="00DA3314" w:rsidRPr="00DA3314">
        <w:rPr>
          <w:rFonts w:ascii="Tahoma" w:hAnsi="Tahoma" w:cs="Tahoma"/>
          <w:sz w:val="20"/>
          <w:szCs w:val="26"/>
          <w:lang w:val="en-US"/>
        </w:rPr>
        <w:t xml:space="preserve">these </w:t>
      </w:r>
      <w:r w:rsidR="001F4BB5" w:rsidRPr="00DA3314">
        <w:rPr>
          <w:rFonts w:ascii="Tahoma" w:hAnsi="Tahoma" w:cs="Tahoma"/>
          <w:sz w:val="20"/>
          <w:szCs w:val="26"/>
          <w:lang w:val="en-US"/>
        </w:rPr>
        <w:t xml:space="preserve">new </w:t>
      </w:r>
      <w:r w:rsidR="00170946" w:rsidRPr="00DA3314">
        <w:rPr>
          <w:rFonts w:ascii="Tahoma" w:hAnsi="Tahoma" w:cs="Tahoma"/>
          <w:sz w:val="20"/>
          <w:szCs w:val="26"/>
          <w:lang w:val="en-US"/>
        </w:rPr>
        <w:t>equipmen</w:t>
      </w:r>
      <w:r w:rsidR="000708B8" w:rsidRPr="00DA3314">
        <w:rPr>
          <w:rFonts w:ascii="Tahoma" w:hAnsi="Tahoma" w:cs="Tahoma"/>
          <w:sz w:val="20"/>
          <w:szCs w:val="26"/>
          <w:lang w:val="en-US"/>
        </w:rPr>
        <w:t>t</w:t>
      </w:r>
      <w:proofErr w:type="gramEnd"/>
      <w:r w:rsidR="001F4BB5" w:rsidRPr="00DA3314">
        <w:rPr>
          <w:rFonts w:ascii="Tahoma" w:hAnsi="Tahoma" w:cs="Tahoma"/>
          <w:sz w:val="20"/>
          <w:szCs w:val="26"/>
          <w:lang w:val="en-US"/>
        </w:rPr>
        <w:t xml:space="preserve"> will help us improve our operations as we support the growth of the Ethiopian economy.”</w:t>
      </w:r>
    </w:p>
    <w:p w14:paraId="37FDE71D" w14:textId="77777777" w:rsidR="001F4BB5" w:rsidRPr="00DA3314" w:rsidRDefault="001F4BB5" w:rsidP="00DA3314">
      <w:pPr>
        <w:pStyle w:val="Paragraph"/>
        <w:rPr>
          <w:rFonts w:ascii="Tahoma" w:hAnsi="Tahoma" w:cs="Tahoma"/>
          <w:sz w:val="20"/>
          <w:szCs w:val="26"/>
          <w:lang w:val="en-US"/>
        </w:rPr>
      </w:pPr>
    </w:p>
    <w:p w14:paraId="168E2F8A" w14:textId="1EAE5A3D" w:rsidR="008261CB" w:rsidRPr="00DA3314" w:rsidRDefault="00A030DF" w:rsidP="00DA3314">
      <w:pPr>
        <w:pStyle w:val="Paragraph"/>
        <w:rPr>
          <w:rFonts w:ascii="Tahoma" w:hAnsi="Tahoma" w:cs="Tahoma"/>
          <w:sz w:val="20"/>
          <w:szCs w:val="26"/>
          <w:lang w:val="en-US"/>
        </w:rPr>
      </w:pPr>
      <w:r w:rsidRPr="00DA3314">
        <w:rPr>
          <w:rFonts w:ascii="Tahoma" w:hAnsi="Tahoma" w:cs="Tahoma"/>
          <w:sz w:val="20"/>
          <w:szCs w:val="26"/>
          <w:lang w:val="en-US"/>
        </w:rPr>
        <w:t>Winfried Lux</w:t>
      </w:r>
      <w:r w:rsidR="00F95F23" w:rsidRPr="00DA3314">
        <w:rPr>
          <w:rFonts w:ascii="Tahoma" w:hAnsi="Tahoma" w:cs="Tahoma"/>
          <w:sz w:val="20"/>
          <w:szCs w:val="26"/>
          <w:lang w:val="en-US"/>
        </w:rPr>
        <w:t xml:space="preserve">, </w:t>
      </w:r>
      <w:r w:rsidR="002B7364" w:rsidRPr="00DA3314">
        <w:rPr>
          <w:rFonts w:ascii="Tahoma" w:hAnsi="Tahoma" w:cs="Tahoma"/>
          <w:sz w:val="20"/>
          <w:szCs w:val="26"/>
          <w:lang w:val="en-US"/>
        </w:rPr>
        <w:t>Regional Manager for India,</w:t>
      </w:r>
      <w:r w:rsidR="008B1515" w:rsidRPr="00DA3314">
        <w:rPr>
          <w:rFonts w:ascii="Tahoma" w:hAnsi="Tahoma" w:cs="Tahoma"/>
          <w:sz w:val="20"/>
          <w:szCs w:val="26"/>
          <w:lang w:val="en-US"/>
        </w:rPr>
        <w:t xml:space="preserve"> Middle East and Africa </w:t>
      </w:r>
      <w:r w:rsidR="00424DBF" w:rsidRPr="00DA3314">
        <w:rPr>
          <w:rFonts w:ascii="Tahoma" w:hAnsi="Tahoma" w:cs="Tahoma"/>
          <w:sz w:val="20"/>
          <w:szCs w:val="26"/>
          <w:lang w:val="en-US"/>
        </w:rPr>
        <w:t>at</w:t>
      </w:r>
      <w:r w:rsidR="002B7364" w:rsidRPr="00DA3314">
        <w:rPr>
          <w:rFonts w:ascii="Tahoma" w:hAnsi="Tahoma" w:cs="Tahoma"/>
          <w:sz w:val="20"/>
          <w:szCs w:val="26"/>
          <w:lang w:val="en-US"/>
        </w:rPr>
        <w:t xml:space="preserve"> </w:t>
      </w:r>
      <w:r w:rsidR="008B1515" w:rsidRPr="00DA3314">
        <w:rPr>
          <w:rFonts w:ascii="Tahoma" w:hAnsi="Tahoma" w:cs="Tahoma"/>
          <w:sz w:val="20"/>
          <w:szCs w:val="26"/>
          <w:lang w:val="en-US"/>
        </w:rPr>
        <w:t>Konecranes Lift Trucks</w:t>
      </w:r>
      <w:r w:rsidR="00F95F23" w:rsidRPr="00DA3314">
        <w:rPr>
          <w:rFonts w:ascii="Tahoma" w:hAnsi="Tahoma" w:cs="Tahoma"/>
          <w:sz w:val="20"/>
          <w:szCs w:val="26"/>
          <w:lang w:val="en-US"/>
        </w:rPr>
        <w:t>, says: “</w:t>
      </w:r>
      <w:r w:rsidR="0029191B" w:rsidRPr="00DA3314">
        <w:rPr>
          <w:rFonts w:ascii="Tahoma" w:hAnsi="Tahoma" w:cs="Tahoma"/>
          <w:sz w:val="20"/>
          <w:szCs w:val="26"/>
          <w:lang w:val="en-US"/>
        </w:rPr>
        <w:t xml:space="preserve">Konecranes thanks </w:t>
      </w:r>
      <w:r w:rsidR="0029191B" w:rsidRPr="00DA3314">
        <w:rPr>
          <w:rFonts w:ascii="Tahoma" w:hAnsi="Tahoma" w:cs="Tahoma"/>
          <w:sz w:val="20"/>
          <w:szCs w:val="26"/>
          <w:lang w:val="en-US"/>
        </w:rPr>
        <w:lastRenderedPageBreak/>
        <w:t>ESL</w:t>
      </w:r>
      <w:r w:rsidR="004D2B19" w:rsidRPr="00DA3314">
        <w:rPr>
          <w:rFonts w:ascii="Tahoma" w:hAnsi="Tahoma" w:cs="Tahoma"/>
          <w:sz w:val="20"/>
          <w:szCs w:val="26"/>
          <w:lang w:val="en-US"/>
        </w:rPr>
        <w:t>SE</w:t>
      </w:r>
      <w:r w:rsidR="0029191B" w:rsidRPr="00DA3314">
        <w:rPr>
          <w:rFonts w:ascii="Tahoma" w:hAnsi="Tahoma" w:cs="Tahoma"/>
          <w:sz w:val="20"/>
          <w:szCs w:val="26"/>
          <w:lang w:val="en-US"/>
        </w:rPr>
        <w:t xml:space="preserve"> for their trust in our equipment and </w:t>
      </w:r>
      <w:r w:rsidR="000F7345" w:rsidRPr="00DA3314">
        <w:rPr>
          <w:rFonts w:ascii="Tahoma" w:hAnsi="Tahoma" w:cs="Tahoma"/>
          <w:sz w:val="20"/>
          <w:szCs w:val="26"/>
          <w:lang w:val="en-US"/>
        </w:rPr>
        <w:t xml:space="preserve">our </w:t>
      </w:r>
      <w:r w:rsidR="0029191B" w:rsidRPr="00DA3314">
        <w:rPr>
          <w:rFonts w:ascii="Tahoma" w:hAnsi="Tahoma" w:cs="Tahoma"/>
          <w:sz w:val="20"/>
          <w:szCs w:val="26"/>
          <w:lang w:val="en-US"/>
        </w:rPr>
        <w:t>company. We</w:t>
      </w:r>
      <w:r w:rsidR="00604F4D" w:rsidRPr="00DA3314">
        <w:rPr>
          <w:rFonts w:ascii="Tahoma" w:hAnsi="Tahoma" w:cs="Tahoma"/>
          <w:sz w:val="20"/>
          <w:szCs w:val="26"/>
          <w:lang w:val="en-US"/>
        </w:rPr>
        <w:t>’</w:t>
      </w:r>
      <w:r w:rsidR="0029191B" w:rsidRPr="00DA3314">
        <w:rPr>
          <w:rFonts w:ascii="Tahoma" w:hAnsi="Tahoma" w:cs="Tahoma"/>
          <w:sz w:val="20"/>
          <w:szCs w:val="26"/>
          <w:lang w:val="en-US"/>
        </w:rPr>
        <w:t xml:space="preserve">re glad to </w:t>
      </w:r>
      <w:r w:rsidR="002B7364" w:rsidRPr="00DA3314">
        <w:rPr>
          <w:rFonts w:ascii="Tahoma" w:hAnsi="Tahoma" w:cs="Tahoma"/>
          <w:sz w:val="20"/>
          <w:szCs w:val="26"/>
          <w:lang w:val="en-US"/>
        </w:rPr>
        <w:t xml:space="preserve">be involved in the </w:t>
      </w:r>
      <w:r w:rsidR="0029191B" w:rsidRPr="00DA3314">
        <w:rPr>
          <w:rFonts w:ascii="Tahoma" w:hAnsi="Tahoma" w:cs="Tahoma"/>
          <w:sz w:val="20"/>
          <w:szCs w:val="26"/>
          <w:lang w:val="en-US"/>
        </w:rPr>
        <w:t>develop</w:t>
      </w:r>
      <w:r w:rsidR="002B7364" w:rsidRPr="00DA3314">
        <w:rPr>
          <w:rFonts w:ascii="Tahoma" w:hAnsi="Tahoma" w:cs="Tahoma"/>
          <w:sz w:val="20"/>
          <w:szCs w:val="26"/>
          <w:lang w:val="en-US"/>
        </w:rPr>
        <w:t>ment of</w:t>
      </w:r>
      <w:r w:rsidR="0029191B" w:rsidRPr="00DA3314">
        <w:rPr>
          <w:rFonts w:ascii="Tahoma" w:hAnsi="Tahoma" w:cs="Tahoma"/>
          <w:sz w:val="20"/>
          <w:szCs w:val="26"/>
          <w:lang w:val="en-US"/>
        </w:rPr>
        <w:t xml:space="preserve"> the Ethiopian shipping hubs and </w:t>
      </w:r>
      <w:r w:rsidR="00424DBF" w:rsidRPr="00DA3314">
        <w:rPr>
          <w:rFonts w:ascii="Tahoma" w:hAnsi="Tahoma" w:cs="Tahoma"/>
          <w:sz w:val="20"/>
          <w:szCs w:val="26"/>
          <w:lang w:val="en-US"/>
        </w:rPr>
        <w:t xml:space="preserve">we’re looking </w:t>
      </w:r>
      <w:r w:rsidR="0029191B" w:rsidRPr="00DA3314">
        <w:rPr>
          <w:rFonts w:ascii="Tahoma" w:hAnsi="Tahoma" w:cs="Tahoma"/>
          <w:sz w:val="20"/>
          <w:szCs w:val="26"/>
          <w:lang w:val="en-US"/>
        </w:rPr>
        <w:t>forward to continu</w:t>
      </w:r>
      <w:r w:rsidR="00604F4D" w:rsidRPr="00DA3314">
        <w:rPr>
          <w:rFonts w:ascii="Tahoma" w:hAnsi="Tahoma" w:cs="Tahoma"/>
          <w:sz w:val="20"/>
          <w:szCs w:val="26"/>
          <w:lang w:val="en-US"/>
        </w:rPr>
        <w:t>ing</w:t>
      </w:r>
      <w:r w:rsidR="0029191B" w:rsidRPr="00DA3314">
        <w:rPr>
          <w:rFonts w:ascii="Tahoma" w:hAnsi="Tahoma" w:cs="Tahoma"/>
          <w:sz w:val="20"/>
          <w:szCs w:val="26"/>
          <w:lang w:val="en-US"/>
        </w:rPr>
        <w:t xml:space="preserve"> </w:t>
      </w:r>
      <w:r w:rsidR="00604F4D" w:rsidRPr="00DA3314">
        <w:rPr>
          <w:rFonts w:ascii="Tahoma" w:hAnsi="Tahoma" w:cs="Tahoma"/>
          <w:sz w:val="20"/>
          <w:szCs w:val="26"/>
          <w:lang w:val="en-US"/>
        </w:rPr>
        <w:t>our</w:t>
      </w:r>
      <w:r w:rsidR="0029191B" w:rsidRPr="00DA3314">
        <w:rPr>
          <w:rFonts w:ascii="Tahoma" w:hAnsi="Tahoma" w:cs="Tahoma"/>
          <w:sz w:val="20"/>
          <w:szCs w:val="26"/>
          <w:lang w:val="en-US"/>
        </w:rPr>
        <w:t xml:space="preserve"> fruitful cooperation long into the future.”</w:t>
      </w:r>
    </w:p>
    <w:p w14:paraId="7E76B6EC" w14:textId="77777777" w:rsidR="008261CB" w:rsidRPr="00DA3314" w:rsidRDefault="008261CB" w:rsidP="00DA3314">
      <w:pPr>
        <w:pStyle w:val="NormalHeavy"/>
        <w:spacing w:line="280" w:lineRule="atLeast"/>
        <w:ind w:firstLine="284"/>
        <w:rPr>
          <w:rFonts w:ascii="Tahoma" w:hAnsi="Tahoma" w:cs="Tahoma"/>
          <w:sz w:val="20"/>
          <w:szCs w:val="26"/>
          <w:lang w:val="en-US"/>
        </w:rPr>
      </w:pPr>
    </w:p>
    <w:p w14:paraId="04BFD3AC" w14:textId="77777777" w:rsidR="008B1515" w:rsidRPr="00DA3314" w:rsidRDefault="008B1515" w:rsidP="00DA3314">
      <w:pPr>
        <w:pStyle w:val="Paragraph"/>
        <w:rPr>
          <w:rFonts w:ascii="Tahoma" w:hAnsi="Tahoma" w:cs="Tahoma"/>
          <w:sz w:val="20"/>
          <w:szCs w:val="26"/>
          <w:lang w:val="en-US"/>
        </w:rPr>
      </w:pPr>
    </w:p>
    <w:p w14:paraId="378BCE85" w14:textId="291AD86F" w:rsidR="008261CB" w:rsidRPr="00DA3314" w:rsidRDefault="00F95F23" w:rsidP="00DA3314">
      <w:pPr>
        <w:pStyle w:val="Paragraph"/>
        <w:ind w:firstLine="0"/>
        <w:rPr>
          <w:rFonts w:ascii="Tahoma" w:hAnsi="Tahoma" w:cs="Tahoma"/>
          <w:b/>
          <w:sz w:val="20"/>
          <w:szCs w:val="26"/>
          <w:lang w:val="en-US"/>
        </w:rPr>
      </w:pPr>
      <w:r w:rsidRPr="00DA3314">
        <w:rPr>
          <w:rFonts w:ascii="Tahoma" w:hAnsi="Tahoma" w:cs="Tahoma"/>
          <w:b/>
          <w:sz w:val="20"/>
          <w:szCs w:val="26"/>
          <w:lang w:val="en-US"/>
        </w:rPr>
        <w:t xml:space="preserve">ABOUT </w:t>
      </w:r>
      <w:r w:rsidR="00D52DF3" w:rsidRPr="00DA3314">
        <w:rPr>
          <w:rFonts w:ascii="Tahoma" w:hAnsi="Tahoma" w:cs="Tahoma"/>
          <w:b/>
          <w:sz w:val="20"/>
          <w:szCs w:val="26"/>
          <w:lang w:val="en-US"/>
        </w:rPr>
        <w:t>ESL</w:t>
      </w:r>
      <w:r w:rsidR="004D2B19" w:rsidRPr="00DA3314">
        <w:rPr>
          <w:rFonts w:ascii="Tahoma" w:hAnsi="Tahoma" w:cs="Tahoma"/>
          <w:b/>
          <w:sz w:val="20"/>
          <w:szCs w:val="26"/>
          <w:lang w:val="en-US"/>
        </w:rPr>
        <w:t>SE</w:t>
      </w:r>
    </w:p>
    <w:p w14:paraId="2CA1BD19" w14:textId="77777777" w:rsidR="00455CA1" w:rsidRDefault="00455CA1" w:rsidP="00455CA1">
      <w:pPr>
        <w:spacing w:line="280" w:lineRule="atLeast"/>
        <w:rPr>
          <w:rFonts w:ascii="Tahoma" w:hAnsi="Tahoma" w:cs="Tahoma"/>
          <w:sz w:val="20"/>
          <w:szCs w:val="20"/>
          <w:lang w:val="en-US"/>
        </w:rPr>
      </w:pPr>
      <w:r>
        <w:rPr>
          <w:rFonts w:ascii="Tahoma" w:hAnsi="Tahoma" w:cs="Tahoma"/>
          <w:sz w:val="20"/>
          <w:szCs w:val="20"/>
        </w:rPr>
        <w:t>Ethiopian Shipping and Logistics Service Enterprise is a government transportation and logistics company formed in 2011 by the merging of four different public companies: Ethiopian Shipping Line, Maritime and Transit Services Enterprise, Ethiopian Dry Ports Enterprise, and Comet Transport S.C. Its main objective is to provide an efficient and effective logistics service to support the rapidly growing economy of Ethiopia.</w:t>
      </w:r>
    </w:p>
    <w:p w14:paraId="53E040B9" w14:textId="77777777" w:rsidR="00455CA1" w:rsidRDefault="00455CA1" w:rsidP="00455CA1">
      <w:pPr>
        <w:spacing w:line="280" w:lineRule="atLeast"/>
        <w:ind w:firstLine="284"/>
        <w:rPr>
          <w:rFonts w:ascii="Tahoma" w:hAnsi="Tahoma" w:cs="Tahoma"/>
          <w:sz w:val="20"/>
          <w:szCs w:val="20"/>
        </w:rPr>
      </w:pPr>
    </w:p>
    <w:p w14:paraId="5D1FCE79" w14:textId="3037F2E1" w:rsidR="00455CA1" w:rsidRDefault="00455CA1" w:rsidP="00455CA1">
      <w:pPr>
        <w:spacing w:line="280" w:lineRule="atLeast"/>
        <w:rPr>
          <w:rFonts w:ascii="Tahoma" w:hAnsi="Tahoma" w:cs="Tahoma"/>
          <w:sz w:val="20"/>
          <w:szCs w:val="20"/>
        </w:rPr>
      </w:pPr>
      <w:r>
        <w:rPr>
          <w:rFonts w:ascii="Tahoma" w:hAnsi="Tahoma" w:cs="Tahoma"/>
          <w:sz w:val="20"/>
          <w:szCs w:val="20"/>
        </w:rPr>
        <w:t xml:space="preserve">The Enterprise is Ethiopia’s designated multimodal </w:t>
      </w:r>
      <w:proofErr w:type="gramStart"/>
      <w:r>
        <w:rPr>
          <w:rFonts w:ascii="Tahoma" w:hAnsi="Tahoma" w:cs="Tahoma"/>
          <w:sz w:val="20"/>
          <w:szCs w:val="20"/>
        </w:rPr>
        <w:t>operator, and</w:t>
      </w:r>
      <w:proofErr w:type="gramEnd"/>
      <w:r>
        <w:rPr>
          <w:rFonts w:ascii="Tahoma" w:hAnsi="Tahoma" w:cs="Tahoma"/>
          <w:sz w:val="20"/>
          <w:szCs w:val="20"/>
        </w:rPr>
        <w:t xml:space="preserve"> owns 11 ships - 2 are tanker vessels and 9 are dry cargo vessels. It provides access to sea transport through </w:t>
      </w:r>
      <w:r w:rsidR="00A0222E">
        <w:rPr>
          <w:rFonts w:ascii="Tahoma" w:hAnsi="Tahoma" w:cs="Tahoma"/>
          <w:sz w:val="20"/>
          <w:szCs w:val="20"/>
          <w:lang w:val="en-US"/>
        </w:rPr>
        <w:t>neighboring</w:t>
      </w:r>
      <w:bookmarkStart w:id="1" w:name="_GoBack"/>
      <w:bookmarkEnd w:id="1"/>
      <w:r>
        <w:rPr>
          <w:rFonts w:ascii="Tahoma" w:hAnsi="Tahoma" w:cs="Tahoma"/>
          <w:sz w:val="20"/>
          <w:szCs w:val="20"/>
        </w:rPr>
        <w:t xml:space="preserve"> Djibouti. Within Ethiopia, it owns 7 dry ports with a total handling capacity of about 23,700 TEUs and annual container throughput of more than 650,000 TEU. Their 440-truck fleet carries freight </w:t>
      </w:r>
      <w:proofErr w:type="gramStart"/>
      <w:r>
        <w:rPr>
          <w:rFonts w:ascii="Tahoma" w:hAnsi="Tahoma" w:cs="Tahoma"/>
          <w:sz w:val="20"/>
          <w:szCs w:val="20"/>
        </w:rPr>
        <w:t>all across</w:t>
      </w:r>
      <w:proofErr w:type="gramEnd"/>
      <w:r>
        <w:rPr>
          <w:rFonts w:ascii="Tahoma" w:hAnsi="Tahoma" w:cs="Tahoma"/>
          <w:sz w:val="20"/>
          <w:szCs w:val="20"/>
        </w:rPr>
        <w:t xml:space="preserve"> the country. With its 28 reach stackers and 80 forklifts, it handles cargo stuffing, loading, unloading, and de-stuffing in the dry ports.</w:t>
      </w:r>
    </w:p>
    <w:p w14:paraId="7CFBB6C0" w14:textId="77777777" w:rsidR="002B7364" w:rsidRPr="00455CA1" w:rsidRDefault="002B7364" w:rsidP="00DA3314">
      <w:pPr>
        <w:pStyle w:val="NormalHeavy"/>
        <w:spacing w:line="280" w:lineRule="atLeast"/>
        <w:ind w:firstLine="284"/>
        <w:rPr>
          <w:rFonts w:asciiTheme="minorHAnsi" w:hAnsiTheme="minorHAnsi" w:cstheme="minorHAnsi"/>
          <w:b w:val="0"/>
          <w:i/>
          <w:sz w:val="22"/>
          <w:szCs w:val="22"/>
        </w:rPr>
      </w:pPr>
    </w:p>
    <w:p w14:paraId="6A6E5DE9" w14:textId="2067FAE4" w:rsidR="002B7364" w:rsidRDefault="002B7364" w:rsidP="00DA3314">
      <w:pPr>
        <w:pStyle w:val="NormalHeavy"/>
        <w:spacing w:line="280" w:lineRule="atLeast"/>
        <w:ind w:firstLine="284"/>
        <w:rPr>
          <w:rFonts w:asciiTheme="minorHAnsi" w:hAnsiTheme="minorHAnsi" w:cstheme="minorHAnsi"/>
          <w:b w:val="0"/>
          <w:i/>
          <w:sz w:val="22"/>
          <w:szCs w:val="22"/>
          <w:lang w:val="en-US"/>
        </w:rPr>
      </w:pPr>
    </w:p>
    <w:p w14:paraId="5010C73B" w14:textId="77777777" w:rsidR="00FE7E7E" w:rsidRDefault="00FE7E7E" w:rsidP="00DA3314">
      <w:pPr>
        <w:pStyle w:val="NormalHeavy"/>
        <w:spacing w:line="280" w:lineRule="atLeast"/>
        <w:ind w:firstLine="284"/>
        <w:rPr>
          <w:rFonts w:asciiTheme="minorHAnsi" w:hAnsiTheme="minorHAnsi" w:cstheme="minorHAnsi"/>
          <w:b w:val="0"/>
          <w:i/>
          <w:sz w:val="22"/>
          <w:szCs w:val="22"/>
          <w:lang w:val="en-US"/>
        </w:rPr>
      </w:pPr>
    </w:p>
    <w:p w14:paraId="2933ABD6" w14:textId="77777777" w:rsidR="00FE7E7E" w:rsidRPr="00AD1ED9" w:rsidRDefault="00FE7E7E" w:rsidP="00DA3314">
      <w:pPr>
        <w:pStyle w:val="NormalHeavy"/>
        <w:spacing w:line="280" w:lineRule="atLeast"/>
        <w:ind w:firstLine="284"/>
        <w:rPr>
          <w:rFonts w:asciiTheme="minorHAnsi" w:hAnsiTheme="minorHAnsi" w:cstheme="minorHAnsi"/>
          <w:b w:val="0"/>
          <w:i/>
          <w:sz w:val="22"/>
          <w:szCs w:val="22"/>
          <w:lang w:val="en-US"/>
        </w:rPr>
      </w:pPr>
    </w:p>
    <w:p w14:paraId="0469420E" w14:textId="5F9ECEBF" w:rsidR="008261CB" w:rsidRPr="00FE7E7E" w:rsidRDefault="00F95F23" w:rsidP="00FE7E7E">
      <w:pPr>
        <w:pStyle w:val="NormalHeavy"/>
        <w:suppressAutoHyphens w:val="0"/>
        <w:rPr>
          <w:lang w:val="en-US"/>
        </w:rPr>
      </w:pPr>
      <w:r w:rsidRPr="00FE7E7E">
        <w:rPr>
          <w:lang w:val="en-US"/>
        </w:rPr>
        <w:t>Further information:</w:t>
      </w:r>
    </w:p>
    <w:p w14:paraId="5517BEFE" w14:textId="7AC5D14D" w:rsidR="008261CB" w:rsidRPr="00FE7E7E" w:rsidRDefault="005D2886" w:rsidP="00FE7E7E">
      <w:pPr>
        <w:pStyle w:val="NormalHeavy"/>
        <w:suppressAutoHyphens w:val="0"/>
        <w:rPr>
          <w:lang w:val="en-US"/>
        </w:rPr>
      </w:pPr>
      <w:r w:rsidRPr="00FE7E7E">
        <w:rPr>
          <w:lang w:val="en-US"/>
        </w:rPr>
        <w:t>Winfried Lux</w:t>
      </w:r>
      <w:r w:rsidR="00F95F23" w:rsidRPr="00FE7E7E">
        <w:rPr>
          <w:lang w:val="en-US"/>
        </w:rPr>
        <w:t xml:space="preserve">, </w:t>
      </w:r>
      <w:r w:rsidR="002B7364" w:rsidRPr="00FE7E7E">
        <w:rPr>
          <w:lang w:val="en-US"/>
        </w:rPr>
        <w:t>Regional Manager IMEA</w:t>
      </w:r>
      <w:r w:rsidR="00F95F23" w:rsidRPr="00FE7E7E">
        <w:rPr>
          <w:lang w:val="en-US"/>
        </w:rPr>
        <w:t xml:space="preserve">, </w:t>
      </w:r>
      <w:r w:rsidR="002B7364" w:rsidRPr="00FE7E7E">
        <w:rPr>
          <w:lang w:val="en-US"/>
        </w:rPr>
        <w:t>BU</w:t>
      </w:r>
      <w:r w:rsidR="00F95F23" w:rsidRPr="00FE7E7E">
        <w:rPr>
          <w:lang w:val="en-US"/>
        </w:rPr>
        <w:t xml:space="preserve"> Lift Trucks </w:t>
      </w:r>
      <w:r w:rsidR="00F95F23" w:rsidRPr="00FE7E7E">
        <w:rPr>
          <w:lang w:val="en-US"/>
        </w:rPr>
        <w:br/>
        <w:t xml:space="preserve">Email: </w:t>
      </w:r>
      <w:r w:rsidRPr="00FE7E7E">
        <w:rPr>
          <w:lang w:val="en-US"/>
        </w:rPr>
        <w:t>winfried.lux</w:t>
      </w:r>
      <w:r w:rsidR="00F95F23" w:rsidRPr="00FE7E7E">
        <w:rPr>
          <w:lang w:val="en-US"/>
        </w:rPr>
        <w:t>@konecranes.com or phone: +4</w:t>
      </w:r>
      <w:r w:rsidRPr="00FE7E7E">
        <w:rPr>
          <w:lang w:val="en-US"/>
        </w:rPr>
        <w:t>9 151 224 106 69</w:t>
      </w:r>
      <w:r w:rsidR="00F95F23" w:rsidRPr="00FE7E7E">
        <w:rPr>
          <w:lang w:val="en-US"/>
        </w:rPr>
        <w:br/>
      </w:r>
    </w:p>
    <w:p w14:paraId="7D839DE4" w14:textId="32203970" w:rsidR="00291A3E" w:rsidRPr="00FE7E7E" w:rsidRDefault="00291A3E" w:rsidP="00FE7E7E">
      <w:pPr>
        <w:pStyle w:val="NormalHeavy"/>
        <w:suppressAutoHyphens w:val="0"/>
        <w:rPr>
          <w:lang w:val="en-US"/>
        </w:rPr>
      </w:pPr>
      <w:r w:rsidRPr="00FE7E7E">
        <w:rPr>
          <w:lang w:val="en-US"/>
        </w:rPr>
        <w:t>Sara Malagoli, Marketing, BU Lift Trucks</w:t>
      </w:r>
    </w:p>
    <w:p w14:paraId="194845EC" w14:textId="1D82E977" w:rsidR="00291A3E" w:rsidRPr="00FE7E7E" w:rsidRDefault="00291A3E" w:rsidP="00FE7E7E">
      <w:pPr>
        <w:pStyle w:val="NormalHeavy"/>
        <w:suppressAutoHyphens w:val="0"/>
        <w:rPr>
          <w:lang w:val="en-US"/>
        </w:rPr>
      </w:pPr>
      <w:r w:rsidRPr="00FE7E7E">
        <w:rPr>
          <w:lang w:val="en-US"/>
        </w:rPr>
        <w:t xml:space="preserve">Email: </w:t>
      </w:r>
      <w:r w:rsidR="004D2B19" w:rsidRPr="00FE7E7E">
        <w:rPr>
          <w:lang w:val="en-US"/>
        </w:rPr>
        <w:t>sara.malagoli@konecranes.com</w:t>
      </w:r>
      <w:r w:rsidRPr="00FE7E7E">
        <w:rPr>
          <w:lang w:val="en-US"/>
        </w:rPr>
        <w:t xml:space="preserve"> or phone: +39 335 777 32 61</w:t>
      </w:r>
    </w:p>
    <w:p w14:paraId="0B07010D" w14:textId="77777777" w:rsidR="008261CB" w:rsidRPr="00FE7E7E" w:rsidRDefault="008261CB" w:rsidP="00FE7E7E">
      <w:pPr>
        <w:pStyle w:val="NormalHeavy"/>
        <w:suppressAutoHyphens w:val="0"/>
        <w:rPr>
          <w:lang w:val="en-US"/>
        </w:rPr>
      </w:pPr>
    </w:p>
    <w:p w14:paraId="2E58F7EF" w14:textId="5374040E" w:rsidR="008261CB" w:rsidRPr="00FE7E7E" w:rsidRDefault="00AD1ED9" w:rsidP="00FE7E7E">
      <w:pPr>
        <w:pStyle w:val="NormalHeavy"/>
        <w:suppressAutoHyphens w:val="0"/>
        <w:rPr>
          <w:lang w:val="en-US"/>
        </w:rPr>
        <w:sectPr w:rsidR="008261CB" w:rsidRPr="00FE7E7E" w:rsidSect="00AD1ED9">
          <w:headerReference w:type="default" r:id="rId6"/>
          <w:footerReference w:type="default" r:id="rId7"/>
          <w:pgSz w:w="11906" w:h="16838"/>
          <w:pgMar w:top="1440" w:right="1440" w:bottom="1440" w:left="1440" w:header="1417" w:footer="369" w:gutter="0"/>
          <w:cols w:space="720"/>
          <w:formProt w:val="0"/>
          <w:docGrid w:linePitch="312" w:charSpace="6143"/>
        </w:sectPr>
      </w:pPr>
      <w:r w:rsidRPr="00FE7E7E">
        <w:rPr>
          <w:lang w:val="en-US"/>
        </w:rPr>
        <w:t>Konecranes is a world-leading group of Lifting Businesses™, serving a broad range of customers, including manufacturing and process industries, shipyards, ports and terminals. Konecranes provides productivity enhancing lifting solutions as well as services for lifting equipment of all makes. In 2018, Group sales totaled EUR 3.16 billion. The Group has 16,100 employees at 600 locations in 50 countries. Konecranes shares are listed on the Nasdaq Helsinki (symbol: KCR).</w:t>
      </w:r>
    </w:p>
    <w:bookmarkEnd w:id="0"/>
    <w:p w14:paraId="262C61FE" w14:textId="77777777" w:rsidR="00F95F23" w:rsidRPr="00AD1ED9" w:rsidRDefault="00F95F23" w:rsidP="00DA3314">
      <w:pPr>
        <w:spacing w:line="280" w:lineRule="atLeast"/>
        <w:ind w:firstLine="284"/>
        <w:rPr>
          <w:lang w:val="en-US"/>
        </w:rPr>
      </w:pPr>
    </w:p>
    <w:sectPr w:rsidR="00F95F23" w:rsidRPr="00AD1ED9">
      <w:type w:val="continuous"/>
      <w:pgSz w:w="11906" w:h="16838"/>
      <w:pgMar w:top="2009" w:right="1134" w:bottom="2241" w:left="1134" w:header="1134" w:footer="1134" w:gutter="0"/>
      <w:cols w:space="720"/>
      <w:formProt w:val="0"/>
      <w:docGrid w:linePitch="312"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4562B" w14:textId="77777777" w:rsidR="005309BE" w:rsidRDefault="005309BE">
      <w:pPr>
        <w:spacing w:line="240" w:lineRule="auto"/>
      </w:pPr>
      <w:r>
        <w:separator/>
      </w:r>
    </w:p>
  </w:endnote>
  <w:endnote w:type="continuationSeparator" w:id="0">
    <w:p w14:paraId="23A8DCE0" w14:textId="77777777" w:rsidR="005309BE" w:rsidRDefault="005309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ITC Franklin Gothic Std Book">
    <w:altName w:val="Calibri"/>
    <w:panose1 w:val="020B0504030503020204"/>
    <w:charset w:val="00"/>
    <w:family w:val="swiss"/>
    <w:notTrueType/>
    <w:pitch w:val="variable"/>
    <w:sig w:usb0="800000AF" w:usb1="4000204A" w:usb2="00000000" w:usb3="00000000" w:csb0="00000001" w:csb1="00000000"/>
  </w:font>
  <w:font w:name="ITC Franklin Gothic Std Me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ranklin Gothic Std No.2">
    <w:altName w:val="Calibri"/>
    <w:panose1 w:val="020B09040407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164A" w14:textId="77777777" w:rsidR="008261CB" w:rsidRDefault="00F95F23">
    <w:pPr>
      <w:pStyle w:val="Pidipagina"/>
      <w:jc w:val="right"/>
    </w:pPr>
    <w:r>
      <w:rPr>
        <w:sz w:val="18"/>
        <w:szCs w:val="18"/>
      </w:rPr>
      <w:fldChar w:fldCharType="begin"/>
    </w:r>
    <w:r>
      <w:instrText>PAGE</w:instrText>
    </w:r>
    <w:r>
      <w:fldChar w:fldCharType="separate"/>
    </w:r>
    <w:r w:rsidR="005309BE">
      <w:rPr>
        <w:noProof/>
      </w:rPr>
      <w:t>1</w:t>
    </w:r>
    <w:r>
      <w:fldChar w:fldCharType="end"/>
    </w:r>
    <w:r>
      <w:rPr>
        <w:sz w:val="18"/>
        <w:szCs w:val="18"/>
      </w:rPr>
      <w:t>/</w:t>
    </w:r>
    <w:r>
      <w:rPr>
        <w:sz w:val="18"/>
        <w:szCs w:val="18"/>
      </w:rPr>
      <w:fldChar w:fldCharType="begin"/>
    </w:r>
    <w:r>
      <w:instrText>NUMPAGES</w:instrText>
    </w:r>
    <w:r>
      <w:fldChar w:fldCharType="separate"/>
    </w:r>
    <w:r w:rsidR="005309BE">
      <w:rPr>
        <w:noProof/>
      </w:rPr>
      <w:t>1</w:t>
    </w:r>
    <w:r>
      <w:fldChar w:fldCharType="end"/>
    </w:r>
  </w:p>
  <w:p w14:paraId="7E5ED58B" w14:textId="77777777" w:rsidR="008261CB" w:rsidRDefault="008261CB">
    <w:pPr>
      <w:pStyle w:val="Pidipagina"/>
    </w:pPr>
  </w:p>
  <w:p w14:paraId="17332C56" w14:textId="77777777" w:rsidR="008261CB" w:rsidRDefault="008261CB">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607ED" w14:textId="77777777" w:rsidR="005309BE" w:rsidRDefault="005309BE">
      <w:pPr>
        <w:spacing w:line="240" w:lineRule="auto"/>
      </w:pPr>
      <w:r>
        <w:separator/>
      </w:r>
    </w:p>
  </w:footnote>
  <w:footnote w:type="continuationSeparator" w:id="0">
    <w:p w14:paraId="4AD9F4FB" w14:textId="77777777" w:rsidR="005309BE" w:rsidRDefault="005309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4281B" w14:textId="77777777" w:rsidR="008261CB" w:rsidRPr="00AD1ED9" w:rsidRDefault="00F95F23">
    <w:pPr>
      <w:pStyle w:val="Headertitle"/>
      <w:rPr>
        <w:sz w:val="40"/>
        <w:szCs w:val="18"/>
      </w:rPr>
    </w:pPr>
    <w:r w:rsidRPr="00AD1ED9">
      <w:rPr>
        <w:noProof/>
        <w:sz w:val="40"/>
        <w:lang w:val="en-US"/>
      </w:rPr>
      <w:drawing>
        <wp:anchor distT="0" distB="0" distL="114300" distR="114300" simplePos="0" relativeHeight="2" behindDoc="1" locked="0" layoutInCell="1" allowOverlap="1" wp14:anchorId="32F3CA88" wp14:editId="4DADA21D">
          <wp:simplePos x="0" y="0"/>
          <wp:positionH relativeFrom="page">
            <wp:posOffset>4626610</wp:posOffset>
          </wp:positionH>
          <wp:positionV relativeFrom="page">
            <wp:posOffset>431800</wp:posOffset>
          </wp:positionV>
          <wp:extent cx="2533650" cy="514350"/>
          <wp:effectExtent l="0" t="0" r="0" b="0"/>
          <wp:wrapTight wrapText="bothSides">
            <wp:wrapPolygon edited="0">
              <wp:start x="-38" y="0"/>
              <wp:lineTo x="-38" y="20762"/>
              <wp:lineTo x="21434" y="20762"/>
              <wp:lineTo x="21434" y="0"/>
              <wp:lineTo x="-38" y="0"/>
            </wp:wrapPolygon>
          </wp:wrapTight>
          <wp:docPr id="1" name="Picture 1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748"/>
                  <pic:cNvPicPr>
                    <a:picLocks noChangeAspect="1" noChangeArrowheads="1"/>
                  </pic:cNvPicPr>
                </pic:nvPicPr>
                <pic:blipFill>
                  <a:blip r:embed="rId1"/>
                  <a:stretch>
                    <a:fillRect/>
                  </a:stretch>
                </pic:blipFill>
                <pic:spPr bwMode="auto">
                  <a:xfrm>
                    <a:off x="0" y="0"/>
                    <a:ext cx="2533650" cy="514350"/>
                  </a:xfrm>
                  <a:prstGeom prst="rect">
                    <a:avLst/>
                  </a:prstGeom>
                  <a:noFill/>
                  <a:ln w="9525">
                    <a:noFill/>
                    <a:miter lim="800000"/>
                    <a:headEnd/>
                    <a:tailEnd/>
                  </a:ln>
                </pic:spPr>
              </pic:pic>
            </a:graphicData>
          </a:graphic>
        </wp:anchor>
      </w:drawing>
    </w:r>
    <w:r w:rsidRPr="00AD1ED9">
      <w:rPr>
        <w:rFonts w:cs="Arial"/>
        <w:sz w:val="40"/>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652"/>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CB"/>
    <w:rsid w:val="00030D87"/>
    <w:rsid w:val="00065938"/>
    <w:rsid w:val="000708B8"/>
    <w:rsid w:val="00091EBF"/>
    <w:rsid w:val="000B0F6E"/>
    <w:rsid w:val="000F7345"/>
    <w:rsid w:val="00110ECB"/>
    <w:rsid w:val="001115DD"/>
    <w:rsid w:val="00170946"/>
    <w:rsid w:val="001A3B4A"/>
    <w:rsid w:val="001F4BB5"/>
    <w:rsid w:val="0023213B"/>
    <w:rsid w:val="0029191B"/>
    <w:rsid w:val="00291A3E"/>
    <w:rsid w:val="002A40E1"/>
    <w:rsid w:val="002B7364"/>
    <w:rsid w:val="003A224A"/>
    <w:rsid w:val="003D0A4D"/>
    <w:rsid w:val="00404968"/>
    <w:rsid w:val="00424DBF"/>
    <w:rsid w:val="004423AB"/>
    <w:rsid w:val="00455CA1"/>
    <w:rsid w:val="004D2B19"/>
    <w:rsid w:val="005309BE"/>
    <w:rsid w:val="00533D7A"/>
    <w:rsid w:val="00544C4B"/>
    <w:rsid w:val="005C01D7"/>
    <w:rsid w:val="005D2886"/>
    <w:rsid w:val="00604F4D"/>
    <w:rsid w:val="00666E2C"/>
    <w:rsid w:val="006F50D2"/>
    <w:rsid w:val="0070567A"/>
    <w:rsid w:val="00767A1A"/>
    <w:rsid w:val="007D7A13"/>
    <w:rsid w:val="007F0B66"/>
    <w:rsid w:val="0082399F"/>
    <w:rsid w:val="008261CB"/>
    <w:rsid w:val="0085338A"/>
    <w:rsid w:val="008B1515"/>
    <w:rsid w:val="009129FD"/>
    <w:rsid w:val="00925FD7"/>
    <w:rsid w:val="00993705"/>
    <w:rsid w:val="009C523F"/>
    <w:rsid w:val="009E6210"/>
    <w:rsid w:val="00A0222E"/>
    <w:rsid w:val="00A030DF"/>
    <w:rsid w:val="00A44F29"/>
    <w:rsid w:val="00A84682"/>
    <w:rsid w:val="00A940A6"/>
    <w:rsid w:val="00A978AF"/>
    <w:rsid w:val="00AB0CD1"/>
    <w:rsid w:val="00AB7B63"/>
    <w:rsid w:val="00AC0127"/>
    <w:rsid w:val="00AC16E7"/>
    <w:rsid w:val="00AD1ED9"/>
    <w:rsid w:val="00BD6C65"/>
    <w:rsid w:val="00C10B09"/>
    <w:rsid w:val="00C66E8D"/>
    <w:rsid w:val="00CD6EA5"/>
    <w:rsid w:val="00D078EA"/>
    <w:rsid w:val="00D52DF3"/>
    <w:rsid w:val="00D776F2"/>
    <w:rsid w:val="00DA3314"/>
    <w:rsid w:val="00DE2C43"/>
    <w:rsid w:val="00E02104"/>
    <w:rsid w:val="00E278F8"/>
    <w:rsid w:val="00E51CA9"/>
    <w:rsid w:val="00EB027A"/>
    <w:rsid w:val="00F02C06"/>
    <w:rsid w:val="00F301E3"/>
    <w:rsid w:val="00F314A6"/>
    <w:rsid w:val="00F32FD1"/>
    <w:rsid w:val="00F95F23"/>
    <w:rsid w:val="00FE7E7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1E693C"/>
  <w15:docId w15:val="{7AD8ED41-AEC9-4949-9480-246DF83F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849C5"/>
    <w:pPr>
      <w:suppressAutoHyphens/>
      <w:spacing w:line="220" w:lineRule="atLeast"/>
      <w:ind w:right="3402"/>
    </w:pPr>
    <w:rPr>
      <w:rFonts w:ascii="ITC Franklin Gothic Std Book" w:hAnsi="ITC Franklin Gothic Std Book"/>
      <w:sz w:val="18"/>
      <w:szCs w:val="24"/>
      <w:lang w:val="en-GB"/>
    </w:rPr>
  </w:style>
  <w:style w:type="paragraph" w:styleId="Titolo1">
    <w:name w:val="heading 1"/>
    <w:basedOn w:val="Normale"/>
    <w:next w:val="Normale"/>
    <w:qFormat/>
    <w:rsid w:val="00F923AA"/>
    <w:pPr>
      <w:keepNext/>
      <w:spacing w:line="300" w:lineRule="atLeast"/>
      <w:outlineLvl w:val="0"/>
    </w:pPr>
    <w:rPr>
      <w:rFonts w:ascii="ITC Franklin Gothic Std Med" w:hAnsi="ITC Franklin Gothic Std Med"/>
      <w:bCs/>
      <w:sz w:val="30"/>
    </w:rPr>
  </w:style>
  <w:style w:type="paragraph" w:styleId="Titolo2">
    <w:name w:val="heading 2"/>
    <w:basedOn w:val="Normale"/>
    <w:next w:val="Normale"/>
    <w:qFormat/>
    <w:rsid w:val="007849C5"/>
    <w:pPr>
      <w:keepNext/>
      <w:spacing w:line="260" w:lineRule="atLeast"/>
      <w:outlineLvl w:val="1"/>
    </w:pPr>
    <w:rPr>
      <w:rFonts w:ascii="ITC Franklin Gothic Std Med" w:hAnsi="ITC Franklin Gothic Std Med" w:cs="Arial"/>
      <w:bCs/>
      <w:iCs/>
      <w:sz w:val="22"/>
      <w:szCs w:val="28"/>
    </w:rPr>
  </w:style>
  <w:style w:type="paragraph" w:styleId="Titolo3">
    <w:name w:val="heading 3"/>
    <w:basedOn w:val="Normale"/>
    <w:next w:val="Normale"/>
    <w:qFormat/>
    <w:rsid w:val="007849C5"/>
    <w:pPr>
      <w:keepNext/>
      <w:outlineLvl w:val="2"/>
    </w:pPr>
    <w:rPr>
      <w:rFonts w:cs="Arial"/>
      <w:b/>
      <w:bCs/>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rmalHeavyChar">
    <w:name w:val="Normal Heavy Char"/>
    <w:basedOn w:val="Carpredefinitoparagrafo"/>
    <w:link w:val="NormalHeavy"/>
    <w:qFormat/>
    <w:rsid w:val="00CA7E3F"/>
    <w:rPr>
      <w:rFonts w:ascii="Arial" w:hAnsi="Arial"/>
      <w:b/>
      <w:sz w:val="18"/>
      <w:szCs w:val="24"/>
      <w:lang w:val="en-GB" w:eastAsia="en-US" w:bidi="ar-SA"/>
    </w:rPr>
  </w:style>
  <w:style w:type="character" w:customStyle="1" w:styleId="InternetLink">
    <w:name w:val="Internet Link"/>
    <w:basedOn w:val="Carpredefinitoparagrafo"/>
    <w:rsid w:val="00CC0AAF"/>
    <w:rPr>
      <w:color w:val="0000FF"/>
      <w:u w:val="single"/>
    </w:rPr>
  </w:style>
  <w:style w:type="character" w:customStyle="1" w:styleId="PidipaginaCarattere">
    <w:name w:val="Piè di pagina Carattere"/>
    <w:link w:val="Pidipagina"/>
    <w:qFormat/>
    <w:rsid w:val="004039A5"/>
    <w:rPr>
      <w:rFonts w:ascii="ITC Franklin Gothic Std Book" w:hAnsi="ITC Franklin Gothic Std Book"/>
      <w:sz w:val="15"/>
      <w:szCs w:val="19"/>
      <w:lang w:val="en-GB"/>
    </w:rPr>
  </w:style>
  <w:style w:type="character" w:styleId="Rimandocommento">
    <w:name w:val="annotation reference"/>
    <w:basedOn w:val="Carpredefinitoparagrafo"/>
    <w:qFormat/>
    <w:rsid w:val="00A860F4"/>
    <w:rPr>
      <w:sz w:val="16"/>
      <w:szCs w:val="16"/>
    </w:rPr>
  </w:style>
  <w:style w:type="character" w:customStyle="1" w:styleId="TestocommentoCarattere">
    <w:name w:val="Testo commento Carattere"/>
    <w:basedOn w:val="Carpredefinitoparagrafo"/>
    <w:link w:val="Testocommento"/>
    <w:qFormat/>
    <w:rsid w:val="00A860F4"/>
    <w:rPr>
      <w:rFonts w:ascii="ITC Franklin Gothic Std Book" w:hAnsi="ITC Franklin Gothic Std Book"/>
      <w:lang w:val="en-GB"/>
    </w:rPr>
  </w:style>
  <w:style w:type="character" w:customStyle="1" w:styleId="SoggettocommentoCarattere">
    <w:name w:val="Soggetto commento Carattere"/>
    <w:basedOn w:val="TestocommentoCarattere"/>
    <w:link w:val="Soggettocommento"/>
    <w:qFormat/>
    <w:rsid w:val="00A860F4"/>
    <w:rPr>
      <w:rFonts w:ascii="ITC Franklin Gothic Std Book" w:hAnsi="ITC Franklin Gothic Std Book"/>
      <w:b/>
      <w:bCs/>
      <w:lang w:val="en-GB"/>
    </w:rPr>
  </w:style>
  <w:style w:type="character" w:customStyle="1" w:styleId="TestofumettoCarattere">
    <w:name w:val="Testo fumetto Carattere"/>
    <w:basedOn w:val="Carpredefinitoparagrafo"/>
    <w:link w:val="Testofumetto"/>
    <w:semiHidden/>
    <w:qFormat/>
    <w:rsid w:val="00A860F4"/>
    <w:rPr>
      <w:rFonts w:ascii="Segoe UI" w:hAnsi="Segoe UI" w:cs="Segoe UI"/>
      <w:sz w:val="18"/>
      <w:szCs w:val="18"/>
      <w:lang w:val="en-GB"/>
    </w:rPr>
  </w:style>
  <w:style w:type="character" w:customStyle="1" w:styleId="ListLabel1">
    <w:name w:val="ListLabel 1"/>
    <w:qFormat/>
    <w:rPr>
      <w:b/>
      <w:i w:val="0"/>
    </w:rPr>
  </w:style>
  <w:style w:type="paragraph" w:customStyle="1" w:styleId="Heading">
    <w:name w:val="Heading"/>
    <w:basedOn w:val="Normale"/>
    <w:next w:val="TextBody"/>
    <w:qFormat/>
    <w:pPr>
      <w:keepNext/>
      <w:spacing w:before="240" w:after="120"/>
    </w:pPr>
    <w:rPr>
      <w:rFonts w:ascii="Liberation Sans" w:eastAsia="Microsoft YaHei" w:hAnsi="Liberation Sans" w:cs="Lucida Sans"/>
      <w:sz w:val="28"/>
      <w:szCs w:val="28"/>
    </w:rPr>
  </w:style>
  <w:style w:type="paragraph" w:customStyle="1" w:styleId="TextBody">
    <w:name w:val="Text Body"/>
    <w:basedOn w:val="Normale"/>
    <w:pPr>
      <w:spacing w:after="140" w:line="288" w:lineRule="auto"/>
    </w:pPr>
  </w:style>
  <w:style w:type="paragraph" w:styleId="Elenco">
    <w:name w:val="List"/>
    <w:basedOn w:val="TextBody"/>
    <w:rPr>
      <w:rFonts w:cs="Lucida Sans"/>
    </w:rPr>
  </w:style>
  <w:style w:type="paragraph" w:styleId="Didascalia">
    <w:name w:val="caption"/>
    <w:basedOn w:val="Normale"/>
    <w:qFormat/>
    <w:pPr>
      <w:suppressLineNumbers/>
      <w:spacing w:before="120" w:after="120"/>
    </w:pPr>
    <w:rPr>
      <w:rFonts w:cs="Lucida Sans"/>
      <w:i/>
      <w:iCs/>
      <w:sz w:val="24"/>
    </w:rPr>
  </w:style>
  <w:style w:type="paragraph" w:customStyle="1" w:styleId="Index">
    <w:name w:val="Index"/>
    <w:basedOn w:val="Normale"/>
    <w:qFormat/>
    <w:pPr>
      <w:suppressLineNumbers/>
    </w:pPr>
    <w:rPr>
      <w:rFonts w:cs="Lucida Sans"/>
    </w:rPr>
  </w:style>
  <w:style w:type="paragraph" w:styleId="Intestazione">
    <w:name w:val="header"/>
    <w:basedOn w:val="Normale"/>
    <w:next w:val="Normale"/>
    <w:rsid w:val="007849C5"/>
    <w:pPr>
      <w:ind w:right="0"/>
    </w:pPr>
    <w:rPr>
      <w:szCs w:val="19"/>
    </w:rPr>
  </w:style>
  <w:style w:type="paragraph" w:styleId="Pidipagina">
    <w:name w:val="footer"/>
    <w:basedOn w:val="Normale"/>
    <w:next w:val="Normale"/>
    <w:link w:val="PidipaginaCarattere"/>
    <w:rsid w:val="007849C5"/>
    <w:pPr>
      <w:tabs>
        <w:tab w:val="center" w:pos="4153"/>
        <w:tab w:val="right" w:pos="8306"/>
      </w:tabs>
      <w:spacing w:line="180" w:lineRule="atLeast"/>
      <w:ind w:left="907" w:right="0"/>
    </w:pPr>
    <w:rPr>
      <w:sz w:val="15"/>
      <w:szCs w:val="19"/>
    </w:rPr>
  </w:style>
  <w:style w:type="paragraph" w:customStyle="1" w:styleId="Introduction">
    <w:name w:val="Introduction"/>
    <w:qFormat/>
    <w:rsid w:val="007849C5"/>
    <w:pPr>
      <w:widowControl w:val="0"/>
      <w:suppressAutoHyphens/>
    </w:pPr>
    <w:rPr>
      <w:rFonts w:ascii="ITC Franklin Gothic Std Med" w:hAnsi="ITC Franklin Gothic Std Med"/>
      <w:sz w:val="18"/>
    </w:rPr>
  </w:style>
  <w:style w:type="paragraph" w:customStyle="1" w:styleId="NormalHeavy">
    <w:name w:val="Normal Heavy"/>
    <w:basedOn w:val="Normale"/>
    <w:link w:val="NormalHeavyChar"/>
    <w:qFormat/>
    <w:rsid w:val="00CA7E3F"/>
    <w:rPr>
      <w:b/>
    </w:rPr>
  </w:style>
  <w:style w:type="paragraph" w:customStyle="1" w:styleId="Basic">
    <w:name w:val="Basic"/>
    <w:qFormat/>
    <w:rsid w:val="007849C5"/>
    <w:pPr>
      <w:widowControl w:val="0"/>
      <w:suppressAutoHyphens/>
    </w:pPr>
    <w:rPr>
      <w:sz w:val="18"/>
    </w:rPr>
  </w:style>
  <w:style w:type="paragraph" w:customStyle="1" w:styleId="Address">
    <w:name w:val="Address"/>
    <w:basedOn w:val="Basic"/>
    <w:qFormat/>
    <w:rsid w:val="007849C5"/>
  </w:style>
  <w:style w:type="paragraph" w:customStyle="1" w:styleId="Headertitle">
    <w:name w:val="Header (title)"/>
    <w:basedOn w:val="Intestazione"/>
    <w:qFormat/>
    <w:rsid w:val="007849C5"/>
    <w:pPr>
      <w:spacing w:after="80" w:line="500" w:lineRule="atLeast"/>
    </w:pPr>
    <w:rPr>
      <w:rFonts w:ascii="Franklin Gothic Std No.2" w:hAnsi="Franklin Gothic Std No.2"/>
      <w:sz w:val="50"/>
    </w:rPr>
  </w:style>
  <w:style w:type="paragraph" w:customStyle="1" w:styleId="Paragraph">
    <w:name w:val="Paragraph"/>
    <w:basedOn w:val="Normale"/>
    <w:qFormat/>
    <w:rsid w:val="007849C5"/>
    <w:pPr>
      <w:spacing w:line="280" w:lineRule="atLeast"/>
      <w:ind w:firstLine="284"/>
    </w:pPr>
    <w:rPr>
      <w:sz w:val="22"/>
    </w:rPr>
  </w:style>
  <w:style w:type="paragraph" w:styleId="Testocommento">
    <w:name w:val="annotation text"/>
    <w:basedOn w:val="Normale"/>
    <w:link w:val="TestocommentoCarattere"/>
    <w:qFormat/>
    <w:rsid w:val="00A860F4"/>
    <w:pPr>
      <w:spacing w:line="240" w:lineRule="auto"/>
    </w:pPr>
    <w:rPr>
      <w:sz w:val="20"/>
      <w:szCs w:val="20"/>
    </w:rPr>
  </w:style>
  <w:style w:type="paragraph" w:styleId="Soggettocommento">
    <w:name w:val="annotation subject"/>
    <w:basedOn w:val="Testocommento"/>
    <w:link w:val="SoggettocommentoCarattere"/>
    <w:qFormat/>
    <w:rsid w:val="00A860F4"/>
    <w:rPr>
      <w:b/>
      <w:bCs/>
    </w:rPr>
  </w:style>
  <w:style w:type="paragraph" w:styleId="Testofumetto">
    <w:name w:val="Balloon Text"/>
    <w:basedOn w:val="Normale"/>
    <w:link w:val="TestofumettoCarattere"/>
    <w:semiHidden/>
    <w:unhideWhenUsed/>
    <w:qFormat/>
    <w:rsid w:val="00A860F4"/>
    <w:pPr>
      <w:spacing w:line="240" w:lineRule="auto"/>
    </w:pPr>
    <w:rPr>
      <w:rFonts w:ascii="Segoe UI" w:hAnsi="Segoe UI" w:cs="Segoe UI"/>
      <w:szCs w:val="18"/>
    </w:rPr>
  </w:style>
  <w:style w:type="paragraph" w:styleId="Revisione">
    <w:name w:val="Revision"/>
    <w:uiPriority w:val="99"/>
    <w:semiHidden/>
    <w:qFormat/>
    <w:rsid w:val="00CF7F5C"/>
    <w:pPr>
      <w:suppressAutoHyphens/>
    </w:pPr>
    <w:rPr>
      <w:rFonts w:ascii="ITC Franklin Gothic Std Book" w:hAnsi="ITC Franklin Gothic Std Book"/>
      <w:sz w:val="18"/>
      <w:szCs w:val="24"/>
      <w:lang w:val="en-GB"/>
    </w:rPr>
  </w:style>
  <w:style w:type="paragraph" w:customStyle="1" w:styleId="Quotations">
    <w:name w:val="Quotations"/>
    <w:basedOn w:val="Normale"/>
    <w:qFormat/>
  </w:style>
  <w:style w:type="paragraph" w:styleId="Titolo">
    <w:name w:val="Title"/>
    <w:basedOn w:val="Heading"/>
    <w:qFormat/>
  </w:style>
  <w:style w:type="paragraph" w:styleId="Sottotitolo">
    <w:name w:val="Subtitle"/>
    <w:basedOn w:val="Heading"/>
    <w:qFormat/>
  </w:style>
  <w:style w:type="character" w:customStyle="1" w:styleId="apple-converted-space">
    <w:name w:val="apple-converted-space"/>
    <w:basedOn w:val="Carpredefinitoparagrafo"/>
    <w:rsid w:val="00BD6C65"/>
  </w:style>
  <w:style w:type="character" w:styleId="Collegamentoipertestuale">
    <w:name w:val="Hyperlink"/>
    <w:basedOn w:val="Carpredefinitoparagrafo"/>
    <w:rsid w:val="00291A3E"/>
    <w:rPr>
      <w:color w:val="0563C1" w:themeColor="hyperlink"/>
      <w:u w:val="single"/>
    </w:rPr>
  </w:style>
  <w:style w:type="character" w:customStyle="1" w:styleId="Menzionenonrisolta1">
    <w:name w:val="Menzione non risolta1"/>
    <w:basedOn w:val="Carpredefinitoparagrafo"/>
    <w:uiPriority w:val="99"/>
    <w:semiHidden/>
    <w:unhideWhenUsed/>
    <w:rsid w:val="00291A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22019">
      <w:bodyDiv w:val="1"/>
      <w:marLeft w:val="0"/>
      <w:marRight w:val="0"/>
      <w:marTop w:val="0"/>
      <w:marBottom w:val="0"/>
      <w:divBdr>
        <w:top w:val="none" w:sz="0" w:space="0" w:color="auto"/>
        <w:left w:val="none" w:sz="0" w:space="0" w:color="auto"/>
        <w:bottom w:val="none" w:sz="0" w:space="0" w:color="auto"/>
        <w:right w:val="none" w:sz="0" w:space="0" w:color="auto"/>
      </w:divBdr>
    </w:div>
    <w:div w:id="270015373">
      <w:bodyDiv w:val="1"/>
      <w:marLeft w:val="0"/>
      <w:marRight w:val="0"/>
      <w:marTop w:val="0"/>
      <w:marBottom w:val="0"/>
      <w:divBdr>
        <w:top w:val="none" w:sz="0" w:space="0" w:color="auto"/>
        <w:left w:val="none" w:sz="0" w:space="0" w:color="auto"/>
        <w:bottom w:val="none" w:sz="0" w:space="0" w:color="auto"/>
        <w:right w:val="none" w:sz="0" w:space="0" w:color="auto"/>
      </w:divBdr>
    </w:div>
    <w:div w:id="609357536">
      <w:bodyDiv w:val="1"/>
      <w:marLeft w:val="0"/>
      <w:marRight w:val="0"/>
      <w:marTop w:val="0"/>
      <w:marBottom w:val="0"/>
      <w:divBdr>
        <w:top w:val="none" w:sz="0" w:space="0" w:color="auto"/>
        <w:left w:val="none" w:sz="0" w:space="0" w:color="auto"/>
        <w:bottom w:val="none" w:sz="0" w:space="0" w:color="auto"/>
        <w:right w:val="none" w:sz="0" w:space="0" w:color="auto"/>
      </w:divBdr>
    </w:div>
    <w:div w:id="653412163">
      <w:bodyDiv w:val="1"/>
      <w:marLeft w:val="0"/>
      <w:marRight w:val="0"/>
      <w:marTop w:val="0"/>
      <w:marBottom w:val="0"/>
      <w:divBdr>
        <w:top w:val="none" w:sz="0" w:space="0" w:color="auto"/>
        <w:left w:val="none" w:sz="0" w:space="0" w:color="auto"/>
        <w:bottom w:val="none" w:sz="0" w:space="0" w:color="auto"/>
        <w:right w:val="none" w:sz="0" w:space="0" w:color="auto"/>
      </w:divBdr>
    </w:div>
    <w:div w:id="895360590">
      <w:bodyDiv w:val="1"/>
      <w:marLeft w:val="0"/>
      <w:marRight w:val="0"/>
      <w:marTop w:val="0"/>
      <w:marBottom w:val="0"/>
      <w:divBdr>
        <w:top w:val="none" w:sz="0" w:space="0" w:color="auto"/>
        <w:left w:val="none" w:sz="0" w:space="0" w:color="auto"/>
        <w:bottom w:val="none" w:sz="0" w:space="0" w:color="auto"/>
        <w:right w:val="none" w:sz="0" w:space="0" w:color="auto"/>
      </w:divBdr>
    </w:div>
    <w:div w:id="1098208848">
      <w:bodyDiv w:val="1"/>
      <w:marLeft w:val="0"/>
      <w:marRight w:val="0"/>
      <w:marTop w:val="0"/>
      <w:marBottom w:val="0"/>
      <w:divBdr>
        <w:top w:val="none" w:sz="0" w:space="0" w:color="auto"/>
        <w:left w:val="none" w:sz="0" w:space="0" w:color="auto"/>
        <w:bottom w:val="none" w:sz="0" w:space="0" w:color="auto"/>
        <w:right w:val="none" w:sz="0" w:space="0" w:color="auto"/>
      </w:divBdr>
    </w:div>
    <w:div w:id="1530870782">
      <w:bodyDiv w:val="1"/>
      <w:marLeft w:val="0"/>
      <w:marRight w:val="0"/>
      <w:marTop w:val="0"/>
      <w:marBottom w:val="0"/>
      <w:divBdr>
        <w:top w:val="none" w:sz="0" w:space="0" w:color="auto"/>
        <w:left w:val="none" w:sz="0" w:space="0" w:color="auto"/>
        <w:bottom w:val="none" w:sz="0" w:space="0" w:color="auto"/>
        <w:right w:val="none" w:sz="0" w:space="0" w:color="auto"/>
      </w:divBdr>
    </w:div>
    <w:div w:id="1556550058">
      <w:bodyDiv w:val="1"/>
      <w:marLeft w:val="0"/>
      <w:marRight w:val="0"/>
      <w:marTop w:val="0"/>
      <w:marBottom w:val="0"/>
      <w:divBdr>
        <w:top w:val="none" w:sz="0" w:space="0" w:color="auto"/>
        <w:left w:val="none" w:sz="0" w:space="0" w:color="auto"/>
        <w:bottom w:val="none" w:sz="0" w:space="0" w:color="auto"/>
        <w:right w:val="none" w:sz="0" w:space="0" w:color="auto"/>
      </w:divBdr>
    </w:div>
    <w:div w:id="2088265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582</Words>
  <Characters>3322</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Konecranes Word Template</vt:lpstr>
      <vt:lpstr>Konecranes Word Template</vt:lpstr>
    </vt:vector>
  </TitlesOfParts>
  <Company>grow.</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Konecranes Word Template</dc:title>
  <dc:subject>letter A4</dc:subject>
  <dc:creator>Susannah</dc:creator>
  <cp:lastModifiedBy>Sara Malagoli</cp:lastModifiedBy>
  <cp:revision>5</cp:revision>
  <cp:lastPrinted>2006-09-13T07:55:00Z</cp:lastPrinted>
  <dcterms:created xsi:type="dcterms:W3CDTF">2019-03-13T10:24:00Z</dcterms:created>
  <dcterms:modified xsi:type="dcterms:W3CDTF">2019-03-22T14:40:00Z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grow.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Satu Rouhiainen / Growparners</vt:lpwstr>
  </property>
  <property fmtid="{D5CDD505-2E9C-101B-9397-08002B2CF9AE}" pid="8" name="ScaleCrop">
    <vt:bool>false</vt:bool>
  </property>
  <property fmtid="{D5CDD505-2E9C-101B-9397-08002B2CF9AE}" pid="9" name="ShareDoc">
    <vt:bool>false</vt:bool>
  </property>
</Properties>
</file>